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E9" w:rsidRDefault="00BE4C66">
      <w:pPr>
        <w:rPr>
          <w:rFonts w:ascii="Times New Roman" w:eastAsia="Calibri" w:hAnsi="Times New Roman" w:cs="Times New Roman"/>
        </w:rPr>
      </w:pPr>
      <w:r w:rsidRPr="00A1406D">
        <w:rPr>
          <w:rFonts w:ascii="Times New Roman" w:eastAsia="Calibri" w:hAnsi="Times New Roman" w:cs="Times New Roman"/>
          <w:lang w:val="kk-KZ"/>
        </w:rPr>
        <w:t>Лекция 13.</w:t>
      </w:r>
      <w:r w:rsidRPr="00A1406D">
        <w:rPr>
          <w:rFonts w:ascii="Times New Roman" w:eastAsia="Calibri" w:hAnsi="Times New Roman" w:cs="Times New Roman"/>
        </w:rPr>
        <w:t xml:space="preserve"> Государственная политика в сфере культуры, туризма и спорта</w:t>
      </w:r>
    </w:p>
    <w:p w:rsidR="009C4C50" w:rsidRDefault="009C4C50">
      <w:pPr>
        <w:rPr>
          <w:rFonts w:ascii="Times New Roman" w:eastAsia="Calibri" w:hAnsi="Times New Roman" w:cs="Times New Roman"/>
        </w:rPr>
      </w:pPr>
    </w:p>
    <w:p w:rsidR="00823243" w:rsidRDefault="009C4C50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современном мире уровень развития культуры, духовное и культурное богатство, наряду с экономическими д</w:t>
      </w:r>
      <w:r>
        <w:rPr>
          <w:rFonts w:ascii="Arial" w:hAnsi="Arial" w:cs="Arial"/>
          <w:color w:val="000000"/>
          <w:sz w:val="21"/>
          <w:szCs w:val="21"/>
        </w:rPr>
        <w:t>остижениями, находятся в числе </w:t>
      </w:r>
      <w:r>
        <w:rPr>
          <w:rFonts w:ascii="Arial" w:hAnsi="Arial" w:cs="Arial"/>
          <w:color w:val="000000"/>
          <w:sz w:val="21"/>
          <w:szCs w:val="21"/>
        </w:rPr>
        <w:t>основных показателей конкурентоспособности нации.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Культура во многом формирует базовое ядро национальной идентичности.</w:t>
      </w:r>
      <w:r w:rsidR="00823243" w:rsidRPr="00823243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 w:rsidR="00823243">
        <w:rPr>
          <w:rFonts w:ascii="Courier New" w:hAnsi="Courier New" w:cs="Courier New"/>
          <w:color w:val="000000"/>
          <w:spacing w:val="2"/>
          <w:sz w:val="20"/>
          <w:szCs w:val="20"/>
        </w:rPr>
        <w:t> Сегодня развитие культуры и культурного потенциала относится к числу ключевых приоритетов развития многих народов и государств мира.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общенационального и мирового культурного наследия, создание, трансляцию и потребление качественных культурных ценностей, плодотворный культурный обмен и духовно-творческую самореализацию личности.</w:t>
      </w: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Исторически сложившаяся и получившая интенсивное развитие за годы независимости инфраструктура отрасли служит базовой платформой для дальнейшего развития казахстанской культуры.</w:t>
      </w: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По данным Комитета по статистике Министерства национальной экономики Республики Казахстан на 1 января 2017 года в стране действует 4,1 тысяч библиотек, около 3,2 тысяч культурно-досуговых организаций, 238 музеев, 64 театра, 94 кинотеатра, 39 концертных организаций, 132 парка культуры и отдыха, 8 зоопарков, 4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цирка.Динамика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развития инфраструктуры носит стабильный положительный характер. Так, за последние годы на 13 % увеличилось количество музеев, учреждений клубного типа и организаций, осуществляющих кинопоказ; на 16,4 % возросло количество театров; на 4,6 % увеличилось число библиотек. Системная государственная поддержка отрасли также определяется стабильным финансированием.</w:t>
      </w:r>
      <w:r w:rsidRPr="0082324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Инфраструктура отрасли позволяет обслуживать в среднем более 90,5 миллионов человек в год. По данным социологических исследований, уровень удовлетворенности населения услугами культуры составляет 66-70,3 %.</w:t>
      </w: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Культурная политика успешного государства направлена на обеспечение устойчивого развития общества на основе формирования созидательных ценностных ориентиров и является качественным измерением развития всех важных аспектов жизнедеятельности общества и государства.</w:t>
      </w: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Достижения в сфере культуры не измеряются только работой ведомств, учреждений культуры, количественными показателями статистики и наличием известных имен. Культура сегодня – это мощный инструмент духовно-эстетического развития личности, формирования общенационального единства и интеграции страны в мировое сообщество. Базовой опорой здесь остаются национально-культурные корни, исторический опыт, лучшие традиции, а также сохранение собственного национального кода нации.</w:t>
      </w:r>
    </w:p>
    <w:p w:rsidR="00823243" w:rsidRDefault="00823243" w:rsidP="0082324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Современный подход к пониманию роли культуры обуславливает необходимость формирования новой социокультурной среды, важными направлениями которой выступают конкурентоспособность, прагматизм, сохранение национальной идентичности, культ знаний, открытость сознания и эволюционный путь развития государства. В данных условиях значимым приоритетом культурной политики должно стать изменение отношения общества к творческой активности и повышению собственных конкурентных преимуществ как важных аспектов успеха личности, бизнеса и государства в целом. Это требует, прежде всего, создания современной, основанной на мировых стандартах эффективной модели организации и управления инфраструктурой и сферой культуры, способствующей скорейшему вхождению Республики Казахстан в число 30-ти самых развитых государств.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основная цель заключается в сохранении и приумножении уникального культурного наследия многонациональной страны, возрождение исторических корней казахского народа.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Казахстан не ограничен рамками развития собственной культуры, мы открыты к диалогу с другими культурами, цивилизациями, что объективно определяет наша история, географическое положение и вектор современного развития.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в рамках принятых международных обязательств Казахстан ратифицировал Конвенцию об охране всемирного культурного и природного наследия, Конвенцию об охране нематериального культурного наследия, Европейскую культурную конвенцию и другие значимые международные документы.</w:t>
      </w:r>
    </w:p>
    <w:p w:rsidR="009C4C50" w:rsidRDefault="00373894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2014 году </w:t>
      </w:r>
      <w:r w:rsidR="009C4C50">
        <w:rPr>
          <w:rFonts w:ascii="Arial" w:hAnsi="Arial" w:cs="Arial"/>
          <w:color w:val="000000"/>
          <w:sz w:val="21"/>
          <w:szCs w:val="21"/>
        </w:rPr>
        <w:t xml:space="preserve">утверждена Концепция культурной политики, в которой предусмотрен комплекс задач общенационального масштаба, направленных на формирование </w:t>
      </w:r>
      <w:proofErr w:type="spellStart"/>
      <w:r w:rsidR="009C4C50">
        <w:rPr>
          <w:rFonts w:ascii="Arial" w:hAnsi="Arial" w:cs="Arial"/>
          <w:color w:val="000000"/>
          <w:sz w:val="21"/>
          <w:szCs w:val="21"/>
        </w:rPr>
        <w:t>общеказахстанской</w:t>
      </w:r>
      <w:proofErr w:type="spellEnd"/>
      <w:r w:rsidR="009C4C50">
        <w:rPr>
          <w:rFonts w:ascii="Arial" w:hAnsi="Arial" w:cs="Arial"/>
          <w:color w:val="000000"/>
          <w:sz w:val="21"/>
          <w:szCs w:val="21"/>
        </w:rPr>
        <w:t xml:space="preserve"> идентичности и конкурентоспособной культурной ментальности на основополагающих ценностях «</w:t>
      </w:r>
      <w:proofErr w:type="spellStart"/>
      <w:r w:rsidR="009C4C50">
        <w:rPr>
          <w:rFonts w:ascii="Arial" w:hAnsi="Arial" w:cs="Arial"/>
          <w:color w:val="000000"/>
          <w:sz w:val="21"/>
          <w:szCs w:val="21"/>
        </w:rPr>
        <w:t>Мәңгілік</w:t>
      </w:r>
      <w:proofErr w:type="spellEnd"/>
      <w:r w:rsidR="009C4C50">
        <w:rPr>
          <w:rFonts w:ascii="Arial" w:hAnsi="Arial" w:cs="Arial"/>
          <w:color w:val="000000"/>
          <w:sz w:val="21"/>
          <w:szCs w:val="21"/>
        </w:rPr>
        <w:t xml:space="preserve"> ел».</w:t>
      </w:r>
    </w:p>
    <w:p w:rsidR="00794D09" w:rsidRDefault="00794D09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В Концепции определена цель и задачи культурной политики РК.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Цели: духовная модернизация и обновление национального сознания, формирование единого культурного пространства страны, конкурентоспособной культурной ментальности и высоких ценностных ориентиров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казахстанцев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развитие и популяризация современных культурных кластеров, влияющих на успешное развитие экономики, повышение туристской привлекательности и позитивно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го международного имиджа страны. Из цели вытекают следующие задачи: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1) формирование духовно-нравственных ориентиров граждан, нового казахстанского патриотизма, устойчивой системы ценностей и созидательных основ общества всеобщего труда;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создание и продвижение национальной символики как перманентной защиты от чуждых идеологических влияний, формирование собственных национальных брендов;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дальнейшее сохранение, изучение и популяризация историко-культурного наследия, формирование культурно-географической карты святынь Казахстана;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4)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продвижение современной казахстанской культуры в глобальном мире;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создание условий для интенсивного развития конкурентоспособной культурной среды и современных культурных кластеров;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создание ярких художественных образов, воплощающих лучшие образцы современности, примечательные исторические события и артефакты, культурное наследие и традиции, тиражируемые посредством всех видов, жанров и направлений искусства - кино, анимации, литературы, живописи и других;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сохранение и укрепление национальной идентичности и единства народа Казахстана на принципах гражданства, духовного обновления, популяризации ценностей программы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жаңғыру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широкое использование историко-культурного ландшафта Казахстана для развития внутреннего и въездного культурного туризма с опорой на символическое наследие народа и культурно-географического карты святынь страны "Сакральная география Казахстана".</w:t>
      </w:r>
    </w:p>
    <w:p w:rsidR="00794D09" w:rsidRDefault="00794D09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Концепция культурной политики разработана с учетом передового опыта стран ОЭСР. В частности, направлена на усиление отрасли культуры и искусства по показателям занятости и уровню доходов, а также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экономизации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отрасли в целом, направленной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самовоспроизводство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культурных ценностей нашей страны.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Концепции культурной политики создан «Центр сближения культур». Благодаря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Мәдени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мұра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два памятника истории и культуры Казахстана вошли в список Всемирного культурного наследия ЮНЕСКО – Мавзолей Ходжа Ахмеда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Яссауи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петроглифы археологического ландшафта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Тамгалы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также 8 объектов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Семиреченского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отрезка Великого Шелкового пути, включенных в 2014 году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Талғар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Қаялык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Қарамерген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Ақтөбе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Степнинское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Өрнек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Құлан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Қостөбе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археологический комплекс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Ақыртас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Репрезентативный список нематериального культурного наследия ЮНЕСКО внесены национальная номинация Казахстана «Искусство исполнения традиционного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домбрового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кюя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а также совместная с Кыргызстаном номинация «Традиционные знания и навыки изготовления казахской и кыргызской юрт». В перспективе планируются номинации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Наурыз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«Охота с беркутом» и др.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Знаковым событием для культуры Казахстана последних лет явилось открытие Государственного театра «Астана Опера», при поддержке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государства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ведущие солисты которого проходят стажировку в Академии театра Ла Скала, Венской опере, Мариинском театре, Фонде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Перголези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Спонтини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школе Итальянской Оперы в Болонье.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текущем году в Астане появилась еще одна достоприме</w:t>
      </w:r>
      <w:r w:rsidR="00794D09">
        <w:rPr>
          <w:rFonts w:ascii="Arial" w:hAnsi="Arial" w:cs="Arial"/>
          <w:color w:val="000000"/>
          <w:sz w:val="21"/>
          <w:szCs w:val="21"/>
        </w:rPr>
        <w:t>чательность, которая</w:t>
      </w:r>
      <w:r>
        <w:rPr>
          <w:rFonts w:ascii="Arial" w:hAnsi="Arial" w:cs="Arial"/>
          <w:color w:val="000000"/>
          <w:sz w:val="21"/>
          <w:szCs w:val="21"/>
        </w:rPr>
        <w:t xml:space="preserve"> привлечет внимание не только туристов, но и студентов из всей Центрально</w:t>
      </w:r>
      <w:r w:rsidR="00373894">
        <w:rPr>
          <w:rFonts w:ascii="Arial" w:hAnsi="Arial" w:cs="Arial"/>
          <w:color w:val="000000"/>
          <w:sz w:val="21"/>
          <w:szCs w:val="21"/>
        </w:rPr>
        <w:t>й Азии - Казахская национальная академия</w:t>
      </w:r>
      <w:r>
        <w:rPr>
          <w:rFonts w:ascii="Arial" w:hAnsi="Arial" w:cs="Arial"/>
          <w:color w:val="000000"/>
          <w:sz w:val="21"/>
          <w:szCs w:val="21"/>
        </w:rPr>
        <w:t xml:space="preserve"> хореографии.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Это первое высшее учебное заведение не только в Казахстане, но и во всей Центральной Азии, где будут готовить от артистов балета до арт-менеджеров, начиная со школьной скамьи до магистратуры.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Казахстане традиционно проводятся международные конкурсы солистов оперы и балета, скрипачей, пианистов, фестивали «Музыка Великой степи»,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Опералия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«Евразия», которые на деле являются мощным фактором интеграции в мировое культурное пространство.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Постановки в театрах Казахстана осуществляются на казахском, русском, уйгурском, узбекском, немецком языках, а оперы великих композиторов звучат на языке оригинала.</w:t>
      </w: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Говоря о</w:t>
      </w:r>
      <w:r w:rsidR="00373894">
        <w:rPr>
          <w:rFonts w:ascii="Arial" w:hAnsi="Arial" w:cs="Arial"/>
          <w:color w:val="000000"/>
          <w:sz w:val="21"/>
          <w:szCs w:val="21"/>
        </w:rPr>
        <w:t xml:space="preserve"> культурном взаимодействии, следует</w:t>
      </w:r>
      <w:r>
        <w:rPr>
          <w:rFonts w:ascii="Arial" w:hAnsi="Arial" w:cs="Arial"/>
          <w:color w:val="000000"/>
          <w:sz w:val="21"/>
          <w:szCs w:val="21"/>
        </w:rPr>
        <w:t xml:space="preserve"> отметить, что Министерство культуры и спорта Республики Казахстан активно участвует в разработке и реализации культурной международной политики и проектов в рамках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ЕврАзЭС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ЮНЕСКО, ШОС, СНГ, ТЮРКСОЙ.</w:t>
      </w:r>
    </w:p>
    <w:p w:rsidR="00136475" w:rsidRDefault="00136475" w:rsidP="0013647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Стратегически важным является расширение международно-правовой базы в сферах многостороннего культурно-гуманитарного сотрудничества и присоединения к наиболее важным, отвечающим интересам страны договорам, конвенциям и соглашениям.</w:t>
      </w:r>
    </w:p>
    <w:p w:rsidR="00136475" w:rsidRDefault="00136475" w:rsidP="0013647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Присоединение Казахстана к Конвенции ЮНЕСКО "Об охране и поощрении форм культурного самовыражения" будет способствовать созданию условий для свободного взаимодействия, сближению культур, продвижению политики межкультурного диалога как на национальном, так и международном уровнях.</w:t>
      </w:r>
    </w:p>
    <w:p w:rsidR="00136475" w:rsidRDefault="00136475" w:rsidP="0013647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итоге, Казахстан может стать одним из центров развития мировой культуры и искусства, исторической науки, археологии и искусствоведения, ведущей международной школой повышения профессионального мастерства и творческого роста.</w:t>
      </w:r>
    </w:p>
    <w:p w:rsidR="00136475" w:rsidRDefault="00136475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Ведется целенаправленная работа в области обеспечения равного доступа к культурному наследию государств – участников Содружества, представляющему взаимный интерес.</w:t>
      </w:r>
    </w:p>
    <w:p w:rsidR="00794D09" w:rsidRDefault="00794D09" w:rsidP="00794D09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В </w:t>
      </w:r>
      <w:hyperlink r:id="rId4" w:anchor="z4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Законе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от 16 ноября 2015 года "О благотворительности" предусмотрены меры по содействию укреплению мира, дружбы и общественного согласия, единства народа, духовной культуры, удовлетворению культурно-образовательных потребностей граждан и общества и оказанию благотворительной помощи этнокультурным объединениям, организациям культуры и искусства, и объектам, имеющим культурно-историческое значение для народа Казахстана.</w:t>
      </w:r>
    </w:p>
    <w:p w:rsidR="00794D09" w:rsidRDefault="00794D09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целях привлечения культурного сообщества и координации вопросов менеджмента в сфере культуры введены институты художественных советов по отраслям при уполномоченном органе в сфере культуры Республики Казахстан. Созданы художественные советы по театральной, музыкальной и концертной деятельности, цирковому и хореографическому искусству, киноиндустрии, музейному, библиотечному делу и археологии, заповедникам-музеям, изобразительному искусству, архитектуре и дизайну, литературе и книгоизданию при уполномоченном органе в сфере культуры Республики Казахстан. Художественные советы в тесном взаимодействии с творческими союзами обеспечивают координацию деятельности институциональных объединений в форме отраслевых кластеров с целью создания конкурентоспособного отечественного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продукта – высокохудожественных произведений и предметов культуры и искусства.</w:t>
      </w:r>
    </w:p>
    <w:p w:rsidR="00136475" w:rsidRDefault="00136475" w:rsidP="0013647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Внедрение современных технологий в сфере культуры является важным фактором развития новых форм культурных коммуникаций и объединения культурного пространства всей страны. Феноменом современного мира является е-культура, обеспечивающая широкий доступ к продукту культуры. Подобный доступ возможно обеспечить путем создания единого электронного портала, позволяющего сфокусировать культурную жизнь страны на одном популярном ресурсе, который включает в себя сеть виртуальных музеев и перевод в электронный формат всех музейных фондов, записей концертов, значимых элементов материального и нематериально историко-культурного наследия. Следующим шагом станет обеспечение доступа через данный электронный портал к национальным артефактам, хранящимся в ведущих музеях всего мира.</w:t>
      </w:r>
    </w:p>
    <w:p w:rsidR="00136475" w:rsidRDefault="00136475" w:rsidP="0013647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рамках активного развития инновационных форм доступа к интеллектуальной информации запущен процесс значительного расширения фонда Казахской национальной электронной библиотеки.</w:t>
      </w:r>
    </w:p>
    <w:p w:rsidR="00136475" w:rsidRPr="00136475" w:rsidRDefault="00136475" w:rsidP="00136475">
      <w:pPr>
        <w:shd w:val="clear" w:color="auto" w:fill="E8E9EB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13647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Концепции культурной политики Республики Казахстан</w:t>
      </w:r>
      <w:r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r w:rsidRPr="0013647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https://adilet.zan.kz/rus/docs/U1400000939</w:t>
      </w:r>
    </w:p>
    <w:p w:rsidR="00E22D59" w:rsidRDefault="00E22D59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:rsidR="00E22D59" w:rsidRDefault="00E22D59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               2. Туристическая отрасль РК</w:t>
      </w:r>
    </w:p>
    <w:p w:rsidR="00934C55" w:rsidRPr="00934C55" w:rsidRDefault="0013647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Туризм является не только крупнейшей, но и наиболее быстро развивающейся отраслью мирового хозяйства, темпы роста которой почти в 2 раза превосходят темпы роста других отраслей экономики. По ключевым показателям, в том числе по эффективности инвестиционных вложений, туризм сравним с нефтедобывающей промышленностью.</w:t>
      </w:r>
      <w:r w:rsidR="00934C55">
        <w:rPr>
          <w:rFonts w:ascii="Courier New" w:hAnsi="Courier New" w:cs="Courier New"/>
          <w:color w:val="000000"/>
          <w:spacing w:val="2"/>
          <w:sz w:val="20"/>
          <w:szCs w:val="20"/>
        </w:rPr>
        <w:t> На сферу туризма приходится около 10 % мирового совокупного продукта, 30 % мирового экспорта услуг, 7 % мировых инвестиций, 10 % рабочих мест и 5 % всех налоговых поступлений.</w:t>
      </w: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среднем для получения доходов, эквивалентных тем, которые дает один иностранный турист, надо вывозить на мировой рынок примерно 9 тонн каменного угля или 15 тонн нефти, или 2 тонны высокосортной пшеницы. При этом, продажа сырья истощает энергоносители страны, а туризм работает на возобновление ресурсов. Каждый турист, въезжающий в страну, расходует в среднем около 20 долларов США каждый час, 30 туристов генерируют 1 рабочее место. Туризм, выступая важным сегментом внешней торговли, предполагающим экспортно-импортные операции с услугами, обладает спецификой "невидимого" экспорта. В отличие от других отраслей экономики, продукция которых транспортируется к потребителю, он вызывает миграцию людей к местам сосредоточения рекреационных ресурсов, а потребление этих ресурсов происходит в определенном месте.</w:t>
      </w:r>
      <w:r w:rsidRPr="00934C55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По оценкам Всемирной туристской организации ООН (далее - UNWTO) к 2030 году ожидается, что путешествия по известным городам, на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lastRenderedPageBreak/>
        <w:t xml:space="preserve">популярные курорты и к памятникам истории и культуры совершат 1,8 млрд. человек, доходы 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гостинично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-туристских услуг составят примерно 2 трлн. долларов США, в сфере туризма будет создано 550 млн. рабочих мест.</w:t>
      </w: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Индустрия делового туризма (MICE) в современном его понимании стала одним из самых перспективных секторов экономики. Сегодня крупные зарубежные компании тратят на деловые поездки около 2 трлн. долларов США в год, а затраты на это предусмотрены в главных статьях расходов, после кадрового обеспечения, налогов, аренды, IT и связи.</w:t>
      </w: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По данным Всемирного совета по туризму и путешествиям (далее - WTTC) в 2015 году объем мирового рынка делового туризма превысил 1,106 трлн. долларов США. По итогам 2016 года расходы на бизнес-поездки выросли до 1,150 трлн. долларов США, а в 2017 году по оценочным данным увеличились на 3,7 % и достигли 1,192 трлн. долларов США.К 2026 году глобальный рынок делового туризма будет оцениваться в 1,658 трлн. долларов США, ежегодный прирост составит в среднем 3,7 %. Наиболее быстрый рост туризма отмечается также в трех странах - Китае, Индии и России. Казахстан, как ближайший сосед России и Китая может занять свое место в мире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 деловому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событийному туризму.</w:t>
      </w: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Согласно прогнозам UNWTO, в следующие два десятилетия экотуризм будет расти стремительными темпами, а глобальные расходы на экотуризм будут расти более высокими темпами, чем вся индустрия туризма в целом. Более того, на сегодняшний день количество ежегодных посещений особо охраняемых природных территорий в мире составляет 8 млрд. посещений, из которых 80 % приходится на Европу и Северную Америку. Данные посещения генерируют 600 млрд. долларов США в виде прямых расходов и дополнительных 250 млрд. долларов США в виде потребительских расходов. Наряду с этим, согласно оценкам Международного общества экотуризма, рынок демонстрирует ежегодный рост в размере 25 % и формирует доход в размере 470 млрд. долларов США.</w:t>
      </w:r>
    </w:p>
    <w:p w:rsidR="00E22D59" w:rsidRDefault="00E22D59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В 2017 году совокупный вклад туризма в общем объеме ВВП Казахстана по методологии WTTC составил 6 %. Данный показатель складывается из трех составляющих: прямой вклад (1,9 %), косвенный (2,9 %) и производный (1,2 %). Прямой вклад включает в себя показатели по расходам внутренних и иностранных туристов, а также государственные расходы на содержание туристских объектов. Косвенный вклад включает в себя инвестиции в туризм, местное содержание закупок компаний туристской индустрии и государственные расходы на управление отраслью, обеспечение продвижения туристских объектов и безопасность туристов. И, наконец, производный эффект складывается из совокупных затрат на оплату труда сотрудников компаний туристской индустрии.</w:t>
      </w: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Ожидается рост туризма за счет появления новых территорий для посещения, поскольку традиционные районы мирового туристского рынка уже практически достигли предела рекреационных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возможностей.Согласно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прогнозам Азиатского мониторинга путешествий самыми динамично развивающимися туристскими рынками в 2050 году будут Бразилия, Россия, Индия, Китай, Мексика, Южная Корея, Малайзия, Таиланд.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Особенности нового типа массового потребителя на рынке туристских услуг: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информированность, высокий уровень образованности;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высокая требовательность к качеству услуг, при этом без необходимости сверх комфортности;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индивидуализм и независимость;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экологизм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сознания;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спонтанность решений;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мобильность;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физическая и умственная активность на отдыхе;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стремление получать от жизни калейдоскоп впечатлений.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Таким образом, имеется четкая тенденция трансформации массового конвейерного туризма в массовый дифференцированный туризм, рождающий спрос на множественные узкоспециализированные сегменты, "гибкие" туристские продукты, новые туристские направления, онлайн-технологии бронирования и покупок.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В глобальном Индексе конкурентоспособности путешествий и туризма Всемирного экономического форума (далее - ВЭФ) в2017 году Казахстан занял 81-е место из 136 стран, ненамного улучшив свои позиции по сравнению с предыдущим индексом 2015 года - 85-е место (рейтинг публикуется один раз в 2 года).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Высокий потенциал для развития туризма в Казахстане отражен в следующих показателях рейтинга: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по количеству культурных объектов всемирного наследия страна занимает - 61-е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по количеству объектов устного и неосязаемого культурного наследия - 22-е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по количеству природных объектов всемирного наследия - 30-е место.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этом, по мнению ВЭФ, существенно ухудшают казахстанский рейтинг в сфере туризма следующие факторы: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невысокое качество туристской инфраструктуры (отели, курорты, культурно-развлекательные объекты, и т.д.) - 121-е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- недостаточная открытость воздушного сообщения - 121-е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сложности визового режима - 114-е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низкое качество дорог - 106-е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слабое присутствие компаний по аренде автомобилей - 113-е место;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- низкая эффективность маркетинга и брендинга-102-е место.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этом данные направления являются одними из основных показателей, определяющих состояние развития отрасли туризма, и на которых необходимо сконцентрироваться для достижения цели по развитию отрасли.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Туристские ресурсы формируют туристскую инфраструктуру. В составе туристской инфраструктуры выделено два основных элемента. Первый элемент - это непосредственно предприятия по оказанию услуг гостеприимства, предоставляющие услуги размещения и питания. Второй элемент - предприятия, участвующие в формировании туристского продукта. Это те сооружения, которые могут функционировать и без туристов, но их показатели экономической деятельности существенно повышаются при увеличении туристского потока 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дестинацию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. К таким объектам можно отнести места развлечений, культурно-событийные объекты, национальные парки и т.д. Это и есть туристские ресурсы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дестинаций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достаточной мере развитые туристские ресурсы обеспечивают доступность туристской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дестинации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комфортность пребывания туристов, приносят существенный доход государству и предпринимателям.</w:t>
      </w: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формировании показателей статистики туризма Казахстана важную роль играют именно показатели деятельности объектов туристской инфраструктуры - количество объектов, количество обслуженных ими посетителей, объем оказанных услуг. Также показатели предприятий туристской инфраструктуры важны при подсчете вклада туризма, как отрасли, в ВВП страны.</w:t>
      </w:r>
      <w:r w:rsidR="000A412F" w:rsidRP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Критериями отбора стали уникальность объекта в качестве туристского магнита и потенциальный рост туристского потока. Также учитывалась их историко-культурная значимость. Например, памятники ЮНЕСКО или вошедшие в перечень объектов Великого Шелкового пути, а также Сакральные объекты по </w:t>
      </w:r>
      <w:proofErr w:type="spellStart"/>
      <w:r w:rsid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программе"Рухани</w:t>
      </w:r>
      <w:proofErr w:type="spellEnd"/>
      <w:r w:rsid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Жаңғыру</w:t>
      </w:r>
      <w:proofErr w:type="spellEnd"/>
      <w:r w:rsid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".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потенциал всех этих объектов, их прогнозируемый экономический эффект, а также необходимость первоочередного решения проблем на республиканском уровне, объекты Карты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туристификации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Казахстана были поделены на два уровня: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первый - это ТОП-10 приоритетных объектов республиканского уровня;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второй - это объекты регионального уровня.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Перечни объектов Карты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туристификации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Казахстана республиканского и регионального уровня прилагаются (приложения 2 и 3) к настоящей Программе.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Наиболее перспективными направлениями, вошедшими в ТОП-10, рассматриваются следующие 10 приоритетных туристских территорий в Казахстане: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озеро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Алаколь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с потенциалом 2 500 000 туристов в год (текущий поток - 772 000 туристов в год);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горный кластер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Алматинского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региона - с потенциалом 2 500 000 туристов в год (текущий поток - 500 000);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Щучинско-Боровская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курортная зона - с потенциалом 2 000 000 туристов в год (текущий поток - 750 000);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Баянаульская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курортная зона - с потенциалом 450 000 туристов в год (текущий поток - 200 000);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Имантау-Шалкарская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курортная зона - с потенциалом 400 000 туристов в год (текущий поток -130 000);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озеро Балхаш - с потенциалом 400 000 туристов в год (текущий поток - 130 000);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развитие историко-культурного туризма Туркестана - с потенциалом 1 500 000 туристов в год (текущий поток - 500 000);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8) развитие пляжного туризма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Мангыстау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с потенциалом 750 000 туристов в год;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9) развитие MICE туризма в городе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Нур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-Султан - с потенциалом 1 000 000 туристов в год;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10) развитие туристской зоны "Байконур", как развлекательного туристского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- с потенциалом от 250 000 до 500 000 туристов в год.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Развитие выбранных 10 направлений является ключевым условием формирования современного высокоэффективного туристского комплекса и повышения вклада туризма в экономику Казахстана.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 Наличие мест размещения во всем мире играют ключевую роль при выборе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дестинации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для поездки. Их достаточность и уровень сервиса существенно влияют на объем туристского потока как внутри страны, так и извне.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Места развлечений также являются инструментом притяжения туристов.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Сфера деятельности мест развлечения отражена в двух отраслях официальной статистики.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Культурно-событийные объекты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P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Особо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охраняемые природные территории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Pr="000A412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Развитие ремесленничества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:rsidR="000A412F" w:rsidRDefault="000A412F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Основные направления туризма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: </w:t>
      </w:r>
      <w:proofErr w:type="spellStart"/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Агротуризм</w:t>
      </w:r>
      <w:proofErr w:type="spellEnd"/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="00524CF1" w:rsidRP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Охотничье-трофейный </w:t>
      </w:r>
      <w:proofErr w:type="gramStart"/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туризм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="00524CF1" w:rsidRP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Экологический</w:t>
      </w:r>
      <w:proofErr w:type="gramEnd"/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туризм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,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Этнографический туризм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="00524CF1" w:rsidRP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Детско-юношеский туризм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="00524CF1" w:rsidRP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Медицинский и санаторно-курортный туризм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,</w:t>
      </w:r>
      <w:r w:rsidR="00524CF1" w:rsidRP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524CF1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MICE (деловой) туризм</w:t>
      </w:r>
      <w:r w:rsidR="00CC2724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:rsidR="00CC2724" w:rsidRDefault="00CC2724" w:rsidP="00CC2724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Пути достижения:</w:t>
      </w:r>
      <w:r w:rsidRPr="00CC2724"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>Развитие туристских ресурсов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>;</w:t>
      </w:r>
      <w:r w:rsidRPr="00CC2724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Обеспечение транспортной доступности туристских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дестинаций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и объектов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;</w:t>
      </w:r>
      <w:r w:rsidRPr="00CC2724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Повышение качества и доступности туристских продуктов и услуг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,</w:t>
      </w:r>
      <w:r w:rsidRPr="00CC2724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Создание благоприятного туристского климата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;</w:t>
      </w:r>
      <w:r w:rsidRPr="00CC2724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Формирование эффективной системы продвижения туристского потенциала страны на внутреннем и международном рынках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;</w:t>
      </w:r>
      <w:r w:rsidRPr="00CC2724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>Совершенствование системы управления и мониторинга развития туристской отрасли</w:t>
      </w:r>
    </w:p>
    <w:p w:rsidR="00E92AAA" w:rsidRDefault="00E92AAA" w:rsidP="00CC2724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1E1E1E"/>
          <w:sz w:val="32"/>
          <w:szCs w:val="32"/>
        </w:rPr>
        <w:t xml:space="preserve">       3.Государственная политика в сфере </w:t>
      </w:r>
    </w:p>
    <w:p w:rsidR="00CC2724" w:rsidRDefault="00E92AAA" w:rsidP="00CC2724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1E1E1E"/>
          <w:sz w:val="32"/>
          <w:szCs w:val="32"/>
        </w:rPr>
        <w:t xml:space="preserve">            спорта и физической культуры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особенностью государственной политики Казахстана в области спорта и физической культуры традиционно является реализация сбалансированного подхода к развитию массового спорта и спорта высших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достижений.В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сфере массового спорта приоритетным направлением является увеличение охвата населения страны систематическими занятиями физической культурой и спортом.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Наблюдается устойчивая тенденция роста числа занимающихся физической культурой и спортом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 w:rsidRPr="00AD2AED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Количество коллективов физической культуры в 2014 году составило 19,3 тыс.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Всего в коллективах физической культуры и спорта создано 92,5 тыс. спортивных секций, занятиями в которых охвачено 3,3 млн. чел., из них на селе – 1,6 млн.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чел.Охват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населения занятиями физической культурой во многом определяет действующая инфраструктура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отрасли.Согласно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ведомственной статистической отчетности в 2014 году в стране функционировало 34,9 тыс. спортивных сооружений и по сравнению с 2013 годом их число возросло на 2%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(34,2 тыс. спортивных сооружений).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Из них: 25,7 тыс. – относятся к объектам учреждений образования, включая спортивные школы, 9,3 тыс. – относятся к объектам физкультурно-спортивного назначения. Инфраструктуру детско-юношеского спорта представляют 435 единиц детско-юношеских спортивных школ, специализированных детско-юношеских школ, 16 школ – интернатов для одаренных в спорте детей.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В 2014 году учреждения дополнительного образования включали 569 детско-подростковых клубов, 105 детско-юношеских клубов физической подготовленности с охватом более 120 тыс. детей 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подростков.Активно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развивается сфера студенческого спорта. В семидесяти из ста двадцати шести ВУЗов страны действуют спортивные клубы.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В республике функционируют 10 спортивных клубов для лиц с ограниченными возможностями здоровья. Создано РГКП "Центр спортивной подготовки для лиц с ограниченными физическими возможностями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За период независимости в республике выстроена система подготовки профессиональных спортсменов от начального этапа до высшего спортивного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мастерства.В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Казахстане функционируют 109 республиканских федераций по видам спорта, 40 из которых – по олимпийским, 7 федераций по национальным, 3 федерации по инвалидным и 59 федераций по неолимпийским видам.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Знаковым событием в спортивной жизни Казахстана стало участие на XXХ летних Олимпийских играх 2012 года в г. Лондоне, где команда Казахстана впервые в истории поднялась на 12 место в неофициальном командном зачете среди 205 стран мира.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На XVII летних Азиатских играх 2014 года в г. Инчхон (Республика Корея) национальная сборная команда закрепилась на 4-м месте, завоевав 84 медали (28 золотых, 23 серебряные и 33 бронзовые медали).</w:t>
      </w: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AD2AED" w:rsidRDefault="00AD2AED" w:rsidP="00AD2AE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</w:p>
    <w:p w:rsidR="00CC2724" w:rsidRDefault="00CC2724" w:rsidP="00CC2724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</w:p>
    <w:p w:rsidR="00CC2724" w:rsidRDefault="00CC2724" w:rsidP="00CC2724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Государственная политика в области физической культуры и спорта в Республике Казахстан проводится на основе принципов: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равенства и общедоступности занятий физической культурой и спортом для всех физических лиц;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непрерывности и преемственности физического воспитания различных возрастных групп населения;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добровольности занятий физической культурой и спортом;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оздоровительной направленности физкультурно-спортивных мероприятий;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равного уважения к занятиям физической культурой, любительским и профессиональным спортом;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запрета на дискриминацию и недопущения пропаганды культа жестокости, насилия и унижения человеческого достоинства;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7) приоритетности спорта высших достижений, отстаивающего честь Республики Казахстан на международных спортивных соревнованиях;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8) содействия развитию адаптивной физической культуры и спорта.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Задачами государственной политики в области физической культуры и спорта являются: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1) обеспечение безопасности жизни и здоровья лиц, занимающихся физической культурой и спортом, а также участников и </w:t>
      </w:r>
      <w:proofErr w:type="gramStart"/>
      <w:r>
        <w:rPr>
          <w:color w:val="000000"/>
        </w:rPr>
        <w:t xml:space="preserve">зрителей физкультурно-оздоровительных и </w:t>
      </w:r>
      <w:r>
        <w:rPr>
          <w:color w:val="000000"/>
        </w:rPr>
        <w:lastRenderedPageBreak/>
        <w:t>спортивных мероприятий</w:t>
      </w:r>
      <w:proofErr w:type="gramEnd"/>
      <w:r>
        <w:rPr>
          <w:color w:val="000000"/>
        </w:rPr>
        <w:t xml:space="preserve"> и соблюдение общественного порядка в местах проведения спортивно-массовых мероприятий;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развитие неолимпийских, олимпийских, </w:t>
      </w:r>
      <w:proofErr w:type="spellStart"/>
      <w:r>
        <w:rPr>
          <w:rStyle w:val="s0"/>
          <w:color w:val="000000"/>
        </w:rPr>
        <w:t>паралимпийских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непаралимпийских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сурдлимпийских</w:t>
      </w:r>
      <w:proofErr w:type="spellEnd"/>
      <w:r>
        <w:rPr>
          <w:rStyle w:val="s0"/>
          <w:color w:val="000000"/>
        </w:rPr>
        <w:t xml:space="preserve"> и национальных видов спорта;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поддержка и стимулирование физической культуры и спорта;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развитие научной базы для исследований в области физической культуры и спорта;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Государственная поддержка в области физической культуры и спорта осуществляется посредством: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регулирования отношений в сфере физической культуры и спорта путем формирования государственной политики, создания ее системы, а также соответствующего нормативно-правового, финансового, материально-технического, кадрового, научно-методического, медицинского, информационного обеспечения;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оказания поддержки развитию внешних связей физкультурно-спортивных организаций, интеграции их в международные спортивные организации, способствующих развитию физкультурно-спортивного движения в Республике Казахстан;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создания благоприятного инвестиционного климата для отечественных и зарубежных инвесторов, вкладывающих свои средства в проектирование, строительство и эксплуатацию спортивных сооружений в соответствии с законодательством Республики Казахстан;</w:t>
      </w:r>
    </w:p>
    <w:p w:rsidR="00E92AAA" w:rsidRDefault="00E92AAA" w:rsidP="00E92AA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обеспечения доступности спортивных сооружений, находящихся в государственной собственности.</w:t>
      </w:r>
    </w:p>
    <w:p w:rsidR="00CC2724" w:rsidRDefault="00E92AAA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Обеспечение доступности спортивных сооружений, находящихся в государственной собственности, является минимальным социальным стандартом в соответствии с </w:t>
      </w:r>
      <w:hyperlink r:id="rId5" w:history="1">
        <w:r>
          <w:rPr>
            <w:rStyle w:val="a4"/>
            <w:color w:val="000080"/>
            <w:shd w:val="clear" w:color="auto" w:fill="FFFFFF"/>
          </w:rPr>
          <w:t>Законом</w:t>
        </w:r>
      </w:hyperlink>
      <w:r>
        <w:rPr>
          <w:color w:val="000000"/>
          <w:shd w:val="clear" w:color="auto" w:fill="FFFFFF"/>
        </w:rPr>
        <w:t> Республики Казахстан «О минимальных социальных стандартах и их гарантиях».</w:t>
      </w:r>
      <w:r>
        <w:rPr>
          <w:color w:val="000000"/>
          <w:shd w:val="clear" w:color="auto" w:fill="FFFFFF"/>
        </w:rPr>
        <w:t xml:space="preserve"> В законе определены компетенции</w:t>
      </w:r>
      <w:r w:rsidR="00151FCC">
        <w:rPr>
          <w:color w:val="000000"/>
          <w:shd w:val="clear" w:color="auto" w:fill="FFFFFF"/>
        </w:rPr>
        <w:t xml:space="preserve"> Правительства, уполномоченного органа, местных органов власти.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Права и обязанности аккредитованных спортивных федераций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Республиканские и региональные аккредитованные спортивные федерации вправе: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организовывать и проводить по соответствующему виду (видам) спорта спортивные мероприятия;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совершенствовать систему подготовки спортсменов по виду (видам) спорта;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 пределах компетенции участвовать в организации перехода спортсмена из одной физкультурно-спортивной организации в другую;</w:t>
      </w:r>
    </w:p>
    <w:p w:rsidR="00151FCC" w:rsidRDefault="00151FCC" w:rsidP="00151FC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устанавливать ограничения на участие в международных спортивных соревнованиях по соответствующим видам спорта спортсменов, не имеющих права выступать за сборные команды Республики Казахстан по видам спорт</w:t>
      </w:r>
    </w:p>
    <w:p w:rsidR="00D572D2" w:rsidRDefault="00151FCC" w:rsidP="006924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Национальное олимпийское движение является составной частью международного олимпийского движения, целью которой являются пропаганда и внедрение принципов олимпийского движения, содействие развитию физической культуры и спорта, укрепление международного спортивного сотрудничества, участие в Олимпийских играх и других международных спортивных мероприятиях, проводимых под эгидой Международного олимпийского комитета.</w:t>
      </w:r>
      <w:r w:rsidRPr="00151FC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Национальное </w:t>
      </w:r>
      <w:proofErr w:type="spellStart"/>
      <w:r>
        <w:rPr>
          <w:b/>
          <w:bCs/>
          <w:color w:val="000000"/>
          <w:shd w:val="clear" w:color="auto" w:fill="FFFFFF"/>
        </w:rPr>
        <w:t>паралимпийское</w:t>
      </w:r>
      <w:proofErr w:type="spellEnd"/>
      <w:r>
        <w:rPr>
          <w:b/>
          <w:bCs/>
          <w:color w:val="000000"/>
          <w:shd w:val="clear" w:color="auto" w:fill="FFFFFF"/>
        </w:rPr>
        <w:t xml:space="preserve"> движение. Национальный </w:t>
      </w:r>
      <w:proofErr w:type="spellStart"/>
      <w:r>
        <w:rPr>
          <w:b/>
          <w:bCs/>
          <w:color w:val="000000"/>
          <w:shd w:val="clear" w:color="auto" w:fill="FFFFFF"/>
        </w:rPr>
        <w:t>паралимпийский</w:t>
      </w:r>
      <w:proofErr w:type="spellEnd"/>
      <w:r>
        <w:rPr>
          <w:b/>
          <w:bCs/>
          <w:color w:val="000000"/>
          <w:shd w:val="clear" w:color="auto" w:fill="FFFFFF"/>
        </w:rPr>
        <w:t xml:space="preserve"> комитет Республики Казахстан</w:t>
      </w:r>
      <w:r>
        <w:rPr>
          <w:b/>
          <w:bCs/>
          <w:color w:val="000000"/>
          <w:shd w:val="clear" w:color="auto" w:fill="FFFFFF"/>
        </w:rPr>
        <w:t>,</w:t>
      </w:r>
      <w:r w:rsidRPr="00151FC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Национальное </w:t>
      </w:r>
      <w:proofErr w:type="spellStart"/>
      <w:r>
        <w:rPr>
          <w:b/>
          <w:bCs/>
          <w:color w:val="000000"/>
          <w:shd w:val="clear" w:color="auto" w:fill="FFFFFF"/>
        </w:rPr>
        <w:t>сурдлимпийское</w:t>
      </w:r>
      <w:proofErr w:type="spellEnd"/>
      <w:r>
        <w:rPr>
          <w:b/>
          <w:bCs/>
          <w:color w:val="000000"/>
          <w:shd w:val="clear" w:color="auto" w:fill="FFFFFF"/>
        </w:rPr>
        <w:t xml:space="preserve"> движение. Национальный </w:t>
      </w:r>
      <w:proofErr w:type="spellStart"/>
      <w:r>
        <w:rPr>
          <w:b/>
          <w:bCs/>
          <w:color w:val="000000"/>
          <w:shd w:val="clear" w:color="auto" w:fill="FFFFFF"/>
        </w:rPr>
        <w:t>сурдлимпийский</w:t>
      </w:r>
      <w:proofErr w:type="spellEnd"/>
      <w:r>
        <w:rPr>
          <w:b/>
          <w:bCs/>
          <w:color w:val="000000"/>
          <w:shd w:val="clear" w:color="auto" w:fill="FFFFFF"/>
        </w:rPr>
        <w:t xml:space="preserve"> комитет Республики Казахстан</w:t>
      </w:r>
      <w:r>
        <w:rPr>
          <w:b/>
          <w:bCs/>
          <w:color w:val="000000"/>
          <w:shd w:val="clear" w:color="auto" w:fill="FFFFFF"/>
        </w:rPr>
        <w:t>,</w:t>
      </w:r>
      <w:r w:rsidRPr="00151FC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Специальное олимпийское движение, общественные объединения по специальным олимпийским видам спорта</w:t>
      </w:r>
      <w:r>
        <w:rPr>
          <w:b/>
          <w:bCs/>
          <w:color w:val="000000"/>
          <w:shd w:val="clear" w:color="auto" w:fill="FFFFFF"/>
        </w:rPr>
        <w:t>,</w:t>
      </w:r>
      <w:r w:rsidRPr="00151FC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военно-прикладных, служебно-прикладных и других видов спорта в Вооруженных Силах, других войсках и воинских формированиях, правоохранительных и специальных государственных </w:t>
      </w:r>
    </w:p>
    <w:p w:rsidR="00D572D2" w:rsidRDefault="00D572D2" w:rsidP="006924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hd w:val="clear" w:color="auto" w:fill="FFFFFF"/>
        </w:rPr>
      </w:pPr>
    </w:p>
    <w:p w:rsidR="00D572D2" w:rsidRDefault="00D572D2" w:rsidP="00D572D2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b/>
          <w:bCs/>
          <w:color w:val="1E1E1E"/>
          <w:sz w:val="32"/>
          <w:szCs w:val="32"/>
        </w:rPr>
        <w:t>Концепция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развития физической культуры и спорта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Республики Казахстан до 2025 года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br/>
        <w:t>Астана 2016 год</w:t>
      </w:r>
      <w:r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r w:rsidRPr="00D572D2">
        <w:rPr>
          <w:rFonts w:ascii="Courier New" w:hAnsi="Courier New" w:cs="Courier New"/>
          <w:b/>
          <w:bCs/>
          <w:color w:val="1E1E1E"/>
          <w:sz w:val="32"/>
          <w:szCs w:val="32"/>
        </w:rPr>
        <w:t>https://adilet.zan.kz/rus/docs/U1600000168</w:t>
      </w:r>
      <w:bookmarkStart w:id="0" w:name="_GoBack"/>
      <w:bookmarkEnd w:id="0"/>
    </w:p>
    <w:p w:rsidR="0069244E" w:rsidRDefault="00151FCC" w:rsidP="006924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органах Республики Казахстан</w:t>
      </w:r>
      <w:r>
        <w:rPr>
          <w:b/>
          <w:bCs/>
          <w:color w:val="000000"/>
          <w:shd w:val="clear" w:color="auto" w:fill="FFFFFF"/>
        </w:rPr>
        <w:t>,</w:t>
      </w:r>
      <w:r w:rsidRPr="00151FC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Национальные виды спорта</w:t>
      </w:r>
      <w:r w:rsidR="0069244E">
        <w:rPr>
          <w:b/>
          <w:bCs/>
          <w:color w:val="000000"/>
          <w:shd w:val="clear" w:color="auto" w:fill="FFFFFF"/>
        </w:rPr>
        <w:t>,</w:t>
      </w:r>
      <w:r w:rsidR="0069244E" w:rsidRPr="0069244E">
        <w:rPr>
          <w:rStyle w:val="a4"/>
          <w:b/>
          <w:bCs/>
          <w:color w:val="000000"/>
        </w:rPr>
        <w:t xml:space="preserve"> </w:t>
      </w:r>
      <w:r w:rsidR="0069244E">
        <w:rPr>
          <w:b/>
          <w:bCs/>
          <w:color w:val="000000"/>
          <w:shd w:val="clear" w:color="auto" w:fill="FFFFFF"/>
        </w:rPr>
        <w:t>ПРОФЕССИОНАЛЬНЫЙ СПОРТ</w:t>
      </w:r>
      <w:r w:rsidR="0069244E">
        <w:rPr>
          <w:b/>
          <w:bCs/>
          <w:color w:val="000000"/>
          <w:shd w:val="clear" w:color="auto" w:fill="FFFFFF"/>
        </w:rPr>
        <w:t xml:space="preserve">, </w:t>
      </w:r>
      <w:r w:rsidR="0069244E">
        <w:rPr>
          <w:rStyle w:val="s1"/>
          <w:b/>
          <w:bCs/>
          <w:color w:val="000000"/>
        </w:rPr>
        <w:t>КАДРОВОЕ, НАУЧНОЕ, МЕДИЦИНСКОЕ ОБЕСПЕЧЕНИЕ</w:t>
      </w:r>
      <w:r w:rsidR="0069244E">
        <w:rPr>
          <w:b/>
          <w:bCs/>
          <w:color w:val="000000"/>
        </w:rPr>
        <w:br/>
      </w:r>
      <w:r w:rsidR="0069244E">
        <w:rPr>
          <w:rStyle w:val="s1"/>
          <w:b/>
          <w:bCs/>
          <w:color w:val="000000"/>
        </w:rPr>
        <w:t>И ДОПИНГ-КОНТРОЛЬ В ОБЛАСТИ ФИЗИЧЕСКОЙ КУЛЬТУРЫ И СПОРТА</w:t>
      </w:r>
    </w:p>
    <w:p w:rsidR="0069244E" w:rsidRDefault="0069244E" w:rsidP="006924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151FCC" w:rsidRDefault="00151FCC" w:rsidP="000A412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0A412F" w:rsidRDefault="000A412F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E22D59" w:rsidRDefault="00E22D59" w:rsidP="00E22D5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E22D59" w:rsidRDefault="00E22D59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934C55" w:rsidRDefault="00934C55" w:rsidP="00934C5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934C55" w:rsidRDefault="00934C55" w:rsidP="00794D0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794D09" w:rsidRDefault="00794D09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 w:rsidP="009C4C5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</w:p>
    <w:p w:rsidR="009C4C50" w:rsidRDefault="009C4C50"/>
    <w:sectPr w:rsidR="009C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62"/>
    <w:rsid w:val="000A412F"/>
    <w:rsid w:val="00136475"/>
    <w:rsid w:val="00151FCC"/>
    <w:rsid w:val="00373894"/>
    <w:rsid w:val="00524CF1"/>
    <w:rsid w:val="005315EA"/>
    <w:rsid w:val="00557534"/>
    <w:rsid w:val="0069244E"/>
    <w:rsid w:val="00794D09"/>
    <w:rsid w:val="00823243"/>
    <w:rsid w:val="009250E9"/>
    <w:rsid w:val="00934C55"/>
    <w:rsid w:val="009A4ED3"/>
    <w:rsid w:val="009A7C4A"/>
    <w:rsid w:val="009C4C50"/>
    <w:rsid w:val="00AD2AED"/>
    <w:rsid w:val="00BE4C66"/>
    <w:rsid w:val="00CC2724"/>
    <w:rsid w:val="00D572D2"/>
    <w:rsid w:val="00E22D59"/>
    <w:rsid w:val="00E92AAA"/>
    <w:rsid w:val="00F60407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E7B7-B087-4321-840F-08F2655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D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6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j">
    <w:name w:val="pj"/>
    <w:basedOn w:val="a"/>
    <w:rsid w:val="00E9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92AAA"/>
  </w:style>
  <w:style w:type="character" w:customStyle="1" w:styleId="s1">
    <w:name w:val="s1"/>
    <w:basedOn w:val="a0"/>
    <w:rsid w:val="00151FCC"/>
  </w:style>
  <w:style w:type="paragraph" w:customStyle="1" w:styleId="pc">
    <w:name w:val="pc"/>
    <w:basedOn w:val="a"/>
    <w:rsid w:val="0069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7608800" TargetMode="External"/><Relationship Id="rId4" Type="http://schemas.openxmlformats.org/officeDocument/2006/relationships/hyperlink" Target="https://adilet.zan.kz/rus/docs/Z150000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13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14</cp:revision>
  <dcterms:created xsi:type="dcterms:W3CDTF">2023-01-24T08:22:00Z</dcterms:created>
  <dcterms:modified xsi:type="dcterms:W3CDTF">2023-01-28T05:21:00Z</dcterms:modified>
</cp:coreProperties>
</file>